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15F543EE" w:rsidR="006255E7" w:rsidRPr="00BE08D4" w:rsidRDefault="006255E7" w:rsidP="006255E7">
      <w:pPr>
        <w:pStyle w:val="3GPPHeader"/>
        <w:spacing w:after="60"/>
        <w:rPr>
          <w:sz w:val="32"/>
          <w:szCs w:val="32"/>
          <w:lang w:val="en-US"/>
        </w:rPr>
      </w:pPr>
      <w:r w:rsidRPr="00BE08D4">
        <w:rPr>
          <w:lang w:val="en-US"/>
        </w:rPr>
        <w:t>3GPP TSG-RAN WG2 #1</w:t>
      </w:r>
      <w:r w:rsidR="00987313" w:rsidRPr="00BE08D4">
        <w:rPr>
          <w:lang w:val="en-US"/>
        </w:rPr>
        <w:t>2</w:t>
      </w:r>
      <w:r w:rsidR="001437F4" w:rsidRPr="00BE08D4">
        <w:rPr>
          <w:lang w:val="en-US"/>
        </w:rPr>
        <w:t>6</w:t>
      </w:r>
      <w:r w:rsidRPr="00BE08D4">
        <w:rPr>
          <w:lang w:val="en-US"/>
        </w:rPr>
        <w:tab/>
      </w:r>
      <w:r w:rsidR="00F0761B" w:rsidRPr="00F0761B">
        <w:rPr>
          <w:sz w:val="32"/>
          <w:szCs w:val="32"/>
          <w:lang w:val="en-US"/>
        </w:rPr>
        <w:t>R2-2404841</w:t>
      </w:r>
    </w:p>
    <w:p w14:paraId="5104E0A7" w14:textId="1DCC1B4F" w:rsidR="006255E7" w:rsidRDefault="001437F4" w:rsidP="006255E7">
      <w:pPr>
        <w:pStyle w:val="CRCoverPage"/>
        <w:outlineLvl w:val="0"/>
        <w:rPr>
          <w:b/>
          <w:noProof/>
          <w:sz w:val="24"/>
        </w:rPr>
      </w:pPr>
      <w:r>
        <w:rPr>
          <w:b/>
          <w:noProof/>
          <w:sz w:val="24"/>
        </w:rPr>
        <w:t>Fukuoka</w:t>
      </w:r>
      <w:r w:rsidR="006255E7">
        <w:rPr>
          <w:b/>
          <w:noProof/>
          <w:sz w:val="24"/>
        </w:rPr>
        <w:t xml:space="preserve">, </w:t>
      </w:r>
      <w:r>
        <w:rPr>
          <w:b/>
          <w:noProof/>
          <w:sz w:val="24"/>
        </w:rPr>
        <w:t>Japan</w:t>
      </w:r>
      <w:r w:rsidR="006255E7">
        <w:rPr>
          <w:b/>
          <w:noProof/>
          <w:sz w:val="24"/>
        </w:rPr>
        <w:t xml:space="preserve">, </w:t>
      </w:r>
      <w:r w:rsidR="0016254D">
        <w:rPr>
          <w:b/>
          <w:noProof/>
          <w:sz w:val="24"/>
        </w:rPr>
        <w:t>20</w:t>
      </w:r>
      <w:r w:rsidR="0016254D" w:rsidRPr="0016254D">
        <w:rPr>
          <w:b/>
          <w:noProof/>
          <w:sz w:val="24"/>
          <w:vertAlign w:val="superscript"/>
        </w:rPr>
        <w:t>th</w:t>
      </w:r>
      <w:r w:rsidR="00E455C2">
        <w:rPr>
          <w:b/>
          <w:noProof/>
          <w:sz w:val="24"/>
        </w:rPr>
        <w:t xml:space="preserve"> – </w:t>
      </w:r>
      <w:r w:rsidR="0016254D">
        <w:rPr>
          <w:b/>
          <w:noProof/>
          <w:sz w:val="24"/>
        </w:rPr>
        <w:t>24</w:t>
      </w:r>
      <w:r w:rsidR="0016254D" w:rsidRPr="0016254D">
        <w:rPr>
          <w:b/>
          <w:noProof/>
          <w:sz w:val="24"/>
          <w:vertAlign w:val="superscript"/>
        </w:rPr>
        <w:t>th</w:t>
      </w:r>
      <w:r w:rsidR="00E455C2">
        <w:rPr>
          <w:b/>
          <w:noProof/>
          <w:sz w:val="24"/>
        </w:rPr>
        <w:t xml:space="preserve"> </w:t>
      </w:r>
      <w:r w:rsidR="0016254D">
        <w:rPr>
          <w:b/>
          <w:noProof/>
          <w:sz w:val="24"/>
        </w:rPr>
        <w:t>May</w:t>
      </w:r>
      <w:r w:rsidR="00E455C2">
        <w:rPr>
          <w:b/>
          <w:noProof/>
          <w:sz w:val="24"/>
        </w:rPr>
        <w:t xml:space="preserve"> 202</w:t>
      </w:r>
      <w:r w:rsidR="0016254D">
        <w:rPr>
          <w:b/>
          <w:noProof/>
          <w:sz w:val="24"/>
        </w:rPr>
        <w:t>4</w:t>
      </w:r>
    </w:p>
    <w:p w14:paraId="432B3E09" w14:textId="77777777" w:rsidR="00E90E49" w:rsidRPr="00CE0424" w:rsidRDefault="00E90E49" w:rsidP="00357380">
      <w:pPr>
        <w:pStyle w:val="3GPPHeader"/>
      </w:pPr>
    </w:p>
    <w:p w14:paraId="6CF7B12A" w14:textId="5D36950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C5EC9">
        <w:rPr>
          <w:sz w:val="22"/>
          <w:szCs w:val="22"/>
        </w:rPr>
        <w:t>8.8.4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28C5EFC" w:rsidR="00E90E49" w:rsidRPr="00CE0424" w:rsidRDefault="003D3C45" w:rsidP="00311702">
      <w:pPr>
        <w:pStyle w:val="3GPPHeader"/>
        <w:rPr>
          <w:sz w:val="22"/>
          <w:szCs w:val="22"/>
        </w:rPr>
      </w:pPr>
      <w:r>
        <w:rPr>
          <w:sz w:val="22"/>
          <w:szCs w:val="22"/>
        </w:rPr>
        <w:t>Title:</w:t>
      </w:r>
      <w:r w:rsidR="00E90E49" w:rsidRPr="00CE0424">
        <w:rPr>
          <w:sz w:val="22"/>
          <w:szCs w:val="22"/>
        </w:rPr>
        <w:tab/>
      </w:r>
      <w:r w:rsidR="007C5EC9">
        <w:rPr>
          <w:sz w:val="22"/>
          <w:szCs w:val="22"/>
        </w:rPr>
        <w:t>Support for broadcast services in NR NTN</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Pr="00CE0424" w:rsidRDefault="00230D18" w:rsidP="00CE0424">
      <w:pPr>
        <w:pStyle w:val="Heading1"/>
      </w:pPr>
      <w:r>
        <w:t>1</w:t>
      </w:r>
      <w:r>
        <w:tab/>
      </w:r>
      <w:r w:rsidR="00E90E49" w:rsidRPr="00CE0424">
        <w:t>Introduction</w:t>
      </w:r>
    </w:p>
    <w:p w14:paraId="08E86E05" w14:textId="7841B9F1" w:rsidR="00246999" w:rsidRPr="007C5EC9" w:rsidRDefault="00246999" w:rsidP="003D786B">
      <w:pPr>
        <w:rPr>
          <w:rFonts w:eastAsia="Malgun Gothic" w:cs="Arial"/>
          <w:lang w:eastAsia="ko-KR"/>
        </w:rPr>
      </w:pPr>
      <w:r w:rsidRPr="007C5EC9">
        <w:rPr>
          <w:rFonts w:cs="Arial"/>
        </w:rPr>
        <w:t xml:space="preserve">The third WID on NTN for NR was agreed in </w:t>
      </w:r>
      <w:r w:rsidRPr="007C5EC9">
        <w:rPr>
          <w:rFonts w:cs="Arial"/>
        </w:rPr>
        <w:fldChar w:fldCharType="begin"/>
      </w:r>
      <w:r w:rsidRPr="007C5EC9">
        <w:rPr>
          <w:rFonts w:cs="Arial"/>
        </w:rPr>
        <w:instrText xml:space="preserve"> REF _Ref45286859 \r \h  \* MERGEFORMAT </w:instrText>
      </w:r>
      <w:r w:rsidRPr="007C5EC9">
        <w:rPr>
          <w:rFonts w:cs="Arial"/>
        </w:rPr>
      </w:r>
      <w:r w:rsidRPr="007C5EC9">
        <w:rPr>
          <w:rFonts w:cs="Arial"/>
        </w:rPr>
        <w:fldChar w:fldCharType="separate"/>
      </w:r>
      <w:r w:rsidR="00A52BC8">
        <w:rPr>
          <w:rFonts w:cs="Arial"/>
        </w:rPr>
        <w:t>[1]</w:t>
      </w:r>
      <w:r w:rsidRPr="007C5EC9">
        <w:rPr>
          <w:rFonts w:cs="Arial"/>
        </w:rPr>
        <w:fldChar w:fldCharType="end"/>
      </w:r>
      <w:r w:rsidRPr="007C5EC9">
        <w:rPr>
          <w:rFonts w:cs="Arial"/>
        </w:rPr>
        <w:t xml:space="preserve">, which includes an objective on </w:t>
      </w:r>
      <w:r w:rsidR="00310B14" w:rsidRPr="007C5EC9">
        <w:rPr>
          <w:rFonts w:cs="Arial"/>
        </w:rPr>
        <w:t xml:space="preserve">specifying </w:t>
      </w:r>
      <w:r w:rsidR="003D786B" w:rsidRPr="007C5EC9">
        <w:rPr>
          <w:rFonts w:cs="Arial"/>
        </w:rPr>
        <w:t>signalling</w:t>
      </w:r>
      <w:r w:rsidR="00310B14" w:rsidRPr="007C5EC9">
        <w:rPr>
          <w:rFonts w:cs="Arial"/>
        </w:rPr>
        <w:t xml:space="preserve"> for broadcast services, as follows:</w:t>
      </w:r>
    </w:p>
    <w:p w14:paraId="57D16DC9" w14:textId="77777777" w:rsidR="00246999" w:rsidRPr="007C5EC9" w:rsidRDefault="00246999" w:rsidP="003D786B">
      <w:pPr>
        <w:numPr>
          <w:ilvl w:val="0"/>
          <w:numId w:val="25"/>
        </w:numPr>
        <w:spacing w:after="0" w:line="276" w:lineRule="auto"/>
        <w:textAlignment w:val="auto"/>
        <w:rPr>
          <w:rFonts w:eastAsia="Malgun Gothic" w:cs="Arial"/>
          <w:lang w:val="en-US" w:eastAsia="ko-KR"/>
        </w:rPr>
      </w:pPr>
      <w:r w:rsidRPr="007C5EC9">
        <w:rPr>
          <w:rFonts w:eastAsia="Malgun Gothic" w:cs="Arial"/>
          <w:lang w:val="en-US" w:eastAsia="ko-KR"/>
        </w:rPr>
        <w:t>Specify signaling of the intended service area of a broadcast service (e.g. MBS broadcast) via NR NTN [RAN2, RAN3]</w:t>
      </w:r>
    </w:p>
    <w:p w14:paraId="186DAC29" w14:textId="77777777" w:rsidR="00246999" w:rsidRPr="007C5EC9" w:rsidRDefault="00246999" w:rsidP="003D786B">
      <w:pPr>
        <w:pStyle w:val="ListParagraph"/>
        <w:widowControl w:val="0"/>
        <w:numPr>
          <w:ilvl w:val="0"/>
          <w:numId w:val="26"/>
        </w:numPr>
        <w:overflowPunct/>
        <w:autoSpaceDE/>
        <w:autoSpaceDN/>
        <w:adjustRightInd/>
        <w:spacing w:line="276" w:lineRule="auto"/>
        <w:ind w:hanging="357"/>
        <w:contextualSpacing/>
        <w:textAlignment w:val="auto"/>
        <w:rPr>
          <w:rFonts w:cs="Arial"/>
          <w:szCs w:val="20"/>
          <w:lang w:val="en-GB" w:eastAsia="en-GB"/>
        </w:rPr>
      </w:pPr>
      <w:r w:rsidRPr="007C5EC9">
        <w:rPr>
          <w:rFonts w:cs="Arial"/>
          <w:szCs w:val="20"/>
        </w:rPr>
        <w:t>Specify SIB signaling to indicate the intended service area in case the satellite footprint covers a larger area. [RAN2]</w:t>
      </w:r>
    </w:p>
    <w:p w14:paraId="42726933" w14:textId="77777777" w:rsidR="00246999" w:rsidRPr="007C5EC9" w:rsidRDefault="00246999" w:rsidP="003D786B">
      <w:pPr>
        <w:pStyle w:val="ListParagraph"/>
        <w:widowControl w:val="0"/>
        <w:numPr>
          <w:ilvl w:val="0"/>
          <w:numId w:val="26"/>
        </w:numPr>
        <w:overflowPunct/>
        <w:autoSpaceDE/>
        <w:autoSpaceDN/>
        <w:adjustRightInd/>
        <w:spacing w:line="276" w:lineRule="auto"/>
        <w:ind w:hanging="357"/>
        <w:contextualSpacing/>
        <w:textAlignment w:val="auto"/>
        <w:rPr>
          <w:rFonts w:cs="Arial"/>
          <w:szCs w:val="20"/>
        </w:rPr>
      </w:pPr>
      <w:r w:rsidRPr="007C5EC9">
        <w:rPr>
          <w:rFonts w:cs="Arial"/>
          <w:szCs w:val="20"/>
        </w:rPr>
        <w:t>Specify the necessary signaling between CN and NG-RAN. [RAN3]</w:t>
      </w:r>
    </w:p>
    <w:p w14:paraId="1EAB9BD0" w14:textId="77777777" w:rsidR="00477768" w:rsidRDefault="00477768" w:rsidP="003D786B">
      <w:pPr>
        <w:pStyle w:val="BodyText"/>
      </w:pPr>
    </w:p>
    <w:p w14:paraId="6F0383A6" w14:textId="336E127B" w:rsidR="00310B14" w:rsidRDefault="00310B14" w:rsidP="003D786B">
      <w:pPr>
        <w:pStyle w:val="BodyText"/>
      </w:pPr>
      <w:r>
        <w:t xml:space="preserve">RAN2#125bis </w:t>
      </w:r>
      <w:r w:rsidR="00425E47">
        <w:t>ha</w:t>
      </w:r>
      <w:r w:rsidR="001E694E">
        <w:t>s</w:t>
      </w:r>
      <w:r w:rsidR="00425E47">
        <w:t xml:space="preserve"> made some progress with the following agreements</w:t>
      </w:r>
      <w:r w:rsidR="001E694E">
        <w:t>:</w:t>
      </w:r>
    </w:p>
    <w:tbl>
      <w:tblPr>
        <w:tblStyle w:val="TableGrid"/>
        <w:tblW w:w="0" w:type="auto"/>
        <w:tblLook w:val="04A0" w:firstRow="1" w:lastRow="0" w:firstColumn="1" w:lastColumn="0" w:noHBand="0" w:noVBand="1"/>
      </w:tblPr>
      <w:tblGrid>
        <w:gridCol w:w="9629"/>
      </w:tblGrid>
      <w:tr w:rsidR="00425E47" w14:paraId="2421DDC7" w14:textId="77777777" w:rsidTr="007C5EC9">
        <w:tc>
          <w:tcPr>
            <w:tcW w:w="9629" w:type="dxa"/>
            <w:shd w:val="clear" w:color="auto" w:fill="auto"/>
          </w:tcPr>
          <w:p w14:paraId="7208A7E8" w14:textId="77777777" w:rsidR="00425E47" w:rsidRDefault="00425E47" w:rsidP="00425E47">
            <w:pPr>
              <w:pStyle w:val="ListParagraph"/>
              <w:numPr>
                <w:ilvl w:val="0"/>
                <w:numId w:val="27"/>
              </w:numPr>
              <w:overflowPunct/>
              <w:autoSpaceDE/>
              <w:autoSpaceDN/>
              <w:adjustRightInd/>
              <w:textAlignment w:val="auto"/>
            </w:pPr>
            <w:r>
              <w:t>For MBS broadcast service we don’t restrict the work to any satellite constellation type</w:t>
            </w:r>
          </w:p>
          <w:p w14:paraId="511E5B07" w14:textId="77777777" w:rsidR="00425E47" w:rsidRDefault="00425E47" w:rsidP="00425E47">
            <w:pPr>
              <w:pStyle w:val="ListParagraph"/>
              <w:numPr>
                <w:ilvl w:val="0"/>
                <w:numId w:val="27"/>
              </w:numPr>
              <w:overflowPunct/>
              <w:autoSpaceDE/>
              <w:autoSpaceDN/>
              <w:adjustRightInd/>
              <w:textAlignment w:val="auto"/>
            </w:pPr>
            <w:r>
              <w:t>We prioritize working on a solution for MBS broadcast but we don’t preclude other broadcast services, namely ETWS</w:t>
            </w:r>
          </w:p>
          <w:p w14:paraId="1496FD2D" w14:textId="77777777" w:rsidR="00425E47" w:rsidRDefault="00425E47" w:rsidP="00425E47">
            <w:pPr>
              <w:pStyle w:val="ListParagraph"/>
              <w:numPr>
                <w:ilvl w:val="0"/>
                <w:numId w:val="27"/>
              </w:numPr>
              <w:overflowPunct/>
              <w:autoSpaceDE/>
              <w:autoSpaceDN/>
              <w:adjustRightInd/>
              <w:textAlignment w:val="auto"/>
            </w:pPr>
            <w:r>
              <w:t>We will cover at least the case where the indicated intended service area covers a portion of a NTN cell</w:t>
            </w:r>
          </w:p>
          <w:p w14:paraId="7F7B74D2" w14:textId="77777777" w:rsidR="00425E47" w:rsidRDefault="00425E47" w:rsidP="00425E47">
            <w:pPr>
              <w:pStyle w:val="ListParagraph"/>
              <w:numPr>
                <w:ilvl w:val="0"/>
                <w:numId w:val="27"/>
              </w:numPr>
              <w:overflowPunct/>
              <w:autoSpaceDE/>
              <w:autoSpaceDN/>
              <w:adjustRightInd/>
              <w:textAlignment w:val="auto"/>
            </w:pPr>
            <w:r>
              <w:t>The intended service area can cover the area of more than one NTN cells (or portions thereof)</w:t>
            </w:r>
          </w:p>
          <w:p w14:paraId="3E3D9573" w14:textId="77777777" w:rsidR="00425E47" w:rsidRDefault="00425E47" w:rsidP="00425E47">
            <w:pPr>
              <w:pStyle w:val="ListParagraph"/>
              <w:numPr>
                <w:ilvl w:val="0"/>
                <w:numId w:val="27"/>
              </w:numPr>
              <w:overflowPunct/>
              <w:autoSpaceDE/>
              <w:autoSpaceDN/>
              <w:adjustRightInd/>
              <w:textAlignment w:val="auto"/>
            </w:pPr>
            <w:r>
              <w:t>Can discuss next time whether the broadcast transmission can be limited to the intended service area only (i.e. no transmission happens outside of the intended serive area)</w:t>
            </w:r>
          </w:p>
          <w:p w14:paraId="5B9B2BAD" w14:textId="77777777" w:rsidR="00425E47" w:rsidRDefault="00425E47" w:rsidP="00425E47">
            <w:pPr>
              <w:pStyle w:val="ListParagraph"/>
              <w:numPr>
                <w:ilvl w:val="0"/>
                <w:numId w:val="27"/>
              </w:numPr>
              <w:overflowPunct/>
              <w:autoSpaceDE/>
              <w:autoSpaceDN/>
              <w:adjustRightInd/>
              <w:textAlignment w:val="auto"/>
            </w:pPr>
            <w:r>
              <w:t>At least the following geographical area formats to model service area can be further considered (the signalling of other information than the geographical information can be considered):</w:t>
            </w:r>
          </w:p>
          <w:p w14:paraId="6AE76FF3" w14:textId="77777777" w:rsidR="00425E47" w:rsidRDefault="00425E47" w:rsidP="00425E47">
            <w:pPr>
              <w:pStyle w:val="ListParagraph"/>
              <w:numPr>
                <w:ilvl w:val="1"/>
                <w:numId w:val="28"/>
              </w:numPr>
              <w:overflowPunct/>
              <w:autoSpaceDE/>
              <w:autoSpaceDN/>
              <w:adjustRightInd/>
              <w:textAlignment w:val="auto"/>
            </w:pPr>
            <w:r>
              <w:t>Circles (like for TN coverage)</w:t>
            </w:r>
          </w:p>
          <w:p w14:paraId="5849D94A" w14:textId="3B5427F8" w:rsidR="00425E47" w:rsidRDefault="00425E47" w:rsidP="007C5EC9">
            <w:pPr>
              <w:pStyle w:val="ListParagraph"/>
              <w:numPr>
                <w:ilvl w:val="1"/>
                <w:numId w:val="28"/>
              </w:numPr>
              <w:overflowPunct/>
              <w:autoSpaceDE/>
              <w:autoSpaceDN/>
              <w:adjustRightInd/>
              <w:textAlignment w:val="auto"/>
            </w:pPr>
            <w:r>
              <w:t>Geographical area information, e.g. via polygons, to better approximate the intended shape of service area</w:t>
            </w:r>
            <w:r w:rsidR="00130DDC">
              <w:rPr>
                <w:lang w:val="en-US"/>
              </w:rPr>
              <w:t>.</w:t>
            </w:r>
          </w:p>
        </w:tc>
      </w:tr>
    </w:tbl>
    <w:p w14:paraId="2538CED5" w14:textId="37347E90" w:rsidR="003D786B" w:rsidRDefault="00130DDC" w:rsidP="00CE0424">
      <w:pPr>
        <w:pStyle w:val="BodyText"/>
      </w:pPr>
      <w:r>
        <w:t xml:space="preserve">This contribution presents our view </w:t>
      </w:r>
      <w:r w:rsidR="001E694E">
        <w:t>on some open issues.</w:t>
      </w:r>
    </w:p>
    <w:p w14:paraId="38853E39" w14:textId="77777777" w:rsidR="004000E8" w:rsidRPr="00CE0424" w:rsidRDefault="00230D18" w:rsidP="00CE0424">
      <w:pPr>
        <w:pStyle w:val="Heading1"/>
      </w:pPr>
      <w:bookmarkStart w:id="0" w:name="_Ref178064866"/>
      <w:r>
        <w:t>2</w:t>
      </w:r>
      <w:r>
        <w:tab/>
      </w:r>
      <w:r w:rsidR="004000E8" w:rsidRPr="00CE0424">
        <w:t>Discussion</w:t>
      </w:r>
      <w:bookmarkEnd w:id="0"/>
    </w:p>
    <w:p w14:paraId="6AB0EB5E" w14:textId="0BDF6916" w:rsidR="00F63950" w:rsidRDefault="00230D18" w:rsidP="00F63950">
      <w:pPr>
        <w:pStyle w:val="Heading2"/>
      </w:pPr>
      <w:r>
        <w:t>2.1</w:t>
      </w:r>
      <w:r>
        <w:tab/>
      </w:r>
      <w:r w:rsidR="0099065E">
        <w:t>Target scenarios</w:t>
      </w:r>
    </w:p>
    <w:p w14:paraId="4CC496FD" w14:textId="720A65E5" w:rsidR="003B429B" w:rsidRPr="003B429B" w:rsidRDefault="003B429B" w:rsidP="003B429B">
      <w:pPr>
        <w:rPr>
          <w:rFonts w:cs="Arial"/>
        </w:rPr>
      </w:pPr>
      <w:r>
        <w:rPr>
          <w:rFonts w:cs="Arial"/>
        </w:rPr>
        <w:t>RAN2 has already</w:t>
      </w:r>
      <w:r w:rsidRPr="003B429B">
        <w:rPr>
          <w:rFonts w:cs="Arial"/>
        </w:rPr>
        <w:t xml:space="preserve"> achieved </w:t>
      </w:r>
      <w:r w:rsidR="001921FD">
        <w:rPr>
          <w:rFonts w:cs="Arial"/>
        </w:rPr>
        <w:t>a better</w:t>
      </w:r>
      <w:r w:rsidRPr="003B429B">
        <w:rPr>
          <w:rFonts w:cs="Arial"/>
        </w:rPr>
        <w:t xml:space="preserve"> understanding of the scenarios</w:t>
      </w:r>
      <w:r w:rsidR="007A2015">
        <w:rPr>
          <w:rFonts w:cs="Arial"/>
        </w:rPr>
        <w:t xml:space="preserve"> considered for </w:t>
      </w:r>
      <w:r w:rsidR="001921FD">
        <w:rPr>
          <w:rFonts w:cs="Arial"/>
        </w:rPr>
        <w:t>broadcast service</w:t>
      </w:r>
      <w:r w:rsidR="007A2015">
        <w:rPr>
          <w:rFonts w:cs="Arial"/>
        </w:rPr>
        <w:t xml:space="preserve"> enhancements in NR NTN. These</w:t>
      </w:r>
      <w:r w:rsidRPr="003B429B">
        <w:rPr>
          <w:rFonts w:cs="Arial"/>
        </w:rPr>
        <w:t xml:space="preserve"> include any </w:t>
      </w:r>
      <w:r w:rsidR="007A2015">
        <w:rPr>
          <w:rFonts w:cs="Arial"/>
        </w:rPr>
        <w:t xml:space="preserve">satellite </w:t>
      </w:r>
      <w:r w:rsidRPr="003B429B">
        <w:rPr>
          <w:rFonts w:cs="Arial"/>
        </w:rPr>
        <w:t xml:space="preserve">constellation </w:t>
      </w:r>
      <w:r w:rsidR="007A2015">
        <w:rPr>
          <w:rFonts w:cs="Arial"/>
        </w:rPr>
        <w:t xml:space="preserve">(NGSO and GSO) </w:t>
      </w:r>
      <w:r w:rsidRPr="003B429B">
        <w:rPr>
          <w:rFonts w:cs="Arial"/>
        </w:rPr>
        <w:t xml:space="preserve">and broadcast service, with RAN2 prioritizing MBS over others like ETWS. NTN </w:t>
      </w:r>
      <w:r w:rsidR="001921FD">
        <w:rPr>
          <w:rFonts w:cs="Arial"/>
        </w:rPr>
        <w:t>comprises of</w:t>
      </w:r>
      <w:r w:rsidRPr="003B429B">
        <w:rPr>
          <w:rFonts w:cs="Arial"/>
        </w:rPr>
        <w:t xml:space="preserve"> diverse deployments such as (quasi)-Earth Fixed Cells (EFC) and Earth-moving Cells (EMC). While it's true that broadcast services may be more suitable for EFCs due to their stable positioning, enhancing EMCs should not be overlooked.</w:t>
      </w:r>
    </w:p>
    <w:p w14:paraId="1195B5C7" w14:textId="5CD81284" w:rsidR="00197BF9" w:rsidRDefault="00197BF9" w:rsidP="00197BF9">
      <w:pPr>
        <w:pStyle w:val="Proposal"/>
        <w:tabs>
          <w:tab w:val="clear" w:pos="1304"/>
        </w:tabs>
        <w:ind w:left="1701" w:hanging="1701"/>
      </w:pPr>
      <w:bookmarkStart w:id="1" w:name="_Toc166143024"/>
      <w:r w:rsidRPr="00197BF9">
        <w:lastRenderedPageBreak/>
        <w:t>For MBS broadcast service, both EFC and EMC are supported.</w:t>
      </w:r>
      <w:bookmarkEnd w:id="1"/>
    </w:p>
    <w:p w14:paraId="6011E41C" w14:textId="08D4AE53" w:rsidR="00764055" w:rsidRDefault="00764055" w:rsidP="00764055">
      <w:pPr>
        <w:pStyle w:val="Heading2"/>
      </w:pPr>
      <w:r>
        <w:t>2.2</w:t>
      </w:r>
      <w:r>
        <w:tab/>
        <w:t>Scope of the intended service area</w:t>
      </w:r>
    </w:p>
    <w:p w14:paraId="220F9605" w14:textId="6C6E854E" w:rsidR="00D92C38" w:rsidRDefault="00DC47BB" w:rsidP="001565D2">
      <w:r>
        <w:t xml:space="preserve">In RAN2#125bis, </w:t>
      </w:r>
      <w:r w:rsidR="00065D63">
        <w:t>it</w:t>
      </w:r>
      <w:r w:rsidR="001565D2">
        <w:t xml:space="preserve"> was already agreed that the MBS broadcast intended service area covers a portion of </w:t>
      </w:r>
      <w:r w:rsidR="00BA6DF0">
        <w:t>an</w:t>
      </w:r>
      <w:r w:rsidR="001565D2">
        <w:t xml:space="preserve"> NTN cell</w:t>
      </w:r>
      <w:r w:rsidR="00BA6DF0">
        <w:t xml:space="preserve"> and </w:t>
      </w:r>
      <w:r w:rsidR="001565D2">
        <w:t>can cover the area of more than one NTN cells</w:t>
      </w:r>
      <w:r w:rsidR="00BA6DF0">
        <w:t>. In addition, it was po</w:t>
      </w:r>
      <w:r w:rsidR="00065D63">
        <w:t xml:space="preserve">stponed to the subsequent meeting the </w:t>
      </w:r>
      <w:r>
        <w:t>discussion to consider whether broadcast transmission could be strictly confined to the intended service area (i.e., ensuring no transmission occurs beyond the specified service area).</w:t>
      </w:r>
      <w:r w:rsidR="00065D63">
        <w:t xml:space="preserve"> </w:t>
      </w:r>
      <w:r w:rsidR="00D92C38">
        <w:t>In the contribution</w:t>
      </w:r>
      <w:r w:rsidR="00065D63">
        <w:t xml:space="preserve"> [2]</w:t>
      </w:r>
      <w:r w:rsidR="00D92C38">
        <w:t xml:space="preserve">, </w:t>
      </w:r>
      <w:r w:rsidR="00A45A78">
        <w:t>a</w:t>
      </w:r>
      <w:r w:rsidR="002F4B0D">
        <w:t xml:space="preserve">n </w:t>
      </w:r>
      <w:r w:rsidR="00A45A78">
        <w:t xml:space="preserve">analysis of </w:t>
      </w:r>
      <w:r w:rsidR="002A4CD8">
        <w:t>various</w:t>
      </w:r>
      <w:r w:rsidR="00A45A78">
        <w:t xml:space="preserve"> </w:t>
      </w:r>
      <w:r w:rsidR="002A4CD8">
        <w:t>scenarios is presented and three alternatives for future direction are proposed</w:t>
      </w:r>
      <w:r w:rsidR="00D92C38">
        <w:t>:</w:t>
      </w:r>
    </w:p>
    <w:p w14:paraId="3F4FB130" w14:textId="41AFCA23" w:rsidR="00D92C38" w:rsidRDefault="00D92C38" w:rsidP="00D92C38">
      <w:pPr>
        <w:pStyle w:val="ListParagraph"/>
        <w:numPr>
          <w:ilvl w:val="0"/>
          <w:numId w:val="29"/>
        </w:numPr>
      </w:pPr>
      <w:r>
        <w:rPr>
          <w:lang w:val="en-US"/>
        </w:rPr>
        <w:t xml:space="preserve">Option </w:t>
      </w:r>
      <w:r>
        <w:t>1: The service area is a portion of an NTN cell, and the Content of the service can only be received within the service area (</w:t>
      </w:r>
      <w:r w:rsidR="00A45A78">
        <w:t>e.g.,</w:t>
      </w:r>
      <w:r>
        <w:t xml:space="preserve"> broadcast via a dedicated beam(s)</w:t>
      </w:r>
      <w:r w:rsidR="00A45A78">
        <w:rPr>
          <w:lang w:val="en-US"/>
        </w:rPr>
        <w:t>)</w:t>
      </w:r>
      <w:r>
        <w:t>.</w:t>
      </w:r>
    </w:p>
    <w:p w14:paraId="6F4D53DA" w14:textId="2B7EF282" w:rsidR="00D92C38" w:rsidRDefault="00D92C38" w:rsidP="00D92C38">
      <w:pPr>
        <w:pStyle w:val="ListParagraph"/>
        <w:numPr>
          <w:ilvl w:val="0"/>
          <w:numId w:val="29"/>
        </w:numPr>
      </w:pPr>
      <w:r>
        <w:rPr>
          <w:lang w:val="en-US"/>
        </w:rPr>
        <w:t>Option 2</w:t>
      </w:r>
      <w:r>
        <w:t>: The service area is a portion of an NTN cell, but the content of the service can be received within the whole cell.</w:t>
      </w:r>
    </w:p>
    <w:p w14:paraId="18AB748D" w14:textId="04823DAA" w:rsidR="00D92C38" w:rsidRPr="00D92C38" w:rsidRDefault="00D92C38" w:rsidP="00D92C38">
      <w:pPr>
        <w:pStyle w:val="ListParagraph"/>
        <w:numPr>
          <w:ilvl w:val="0"/>
          <w:numId w:val="29"/>
        </w:numPr>
      </w:pPr>
      <w:r>
        <w:rPr>
          <w:lang w:val="en-US"/>
        </w:rPr>
        <w:t xml:space="preserve">Option </w:t>
      </w:r>
      <w:r>
        <w:t>3: The intended service area consists of a list of NTN cell(s)/tracking area(s).</w:t>
      </w:r>
    </w:p>
    <w:p w14:paraId="67418C98" w14:textId="77B72B0D" w:rsidR="00783DCC" w:rsidRPr="00E1314D" w:rsidRDefault="002615E2" w:rsidP="00783DCC">
      <w:r w:rsidRPr="002615E2">
        <w:t xml:space="preserve">If we evaluate these options in reverse order, </w:t>
      </w:r>
      <w:r>
        <w:t xml:space="preserve">it becomes evident that </w:t>
      </w:r>
      <w:r w:rsidR="00F7147C">
        <w:t>Option 3 is already supported, i.e.,</w:t>
      </w:r>
      <w:r w:rsidR="003D62A0">
        <w:t xml:space="preserve"> legacy MBS allows a</w:t>
      </w:r>
      <w:r w:rsidR="00F7147C">
        <w:t xml:space="preserve"> </w:t>
      </w:r>
      <w:r w:rsidR="006F696F">
        <w:t xml:space="preserve">broadcast service </w:t>
      </w:r>
      <w:r w:rsidR="003D62A0">
        <w:t>to</w:t>
      </w:r>
      <w:r w:rsidR="00F7147C">
        <w:t xml:space="preserve"> be associated with</w:t>
      </w:r>
      <w:r w:rsidR="006F696F">
        <w:t xml:space="preserve"> a specific</w:t>
      </w:r>
      <w:r w:rsidR="00F7147C">
        <w:t xml:space="preserve"> Tracking Areas or entire cells.</w:t>
      </w:r>
      <w:r w:rsidR="00D92C38">
        <w:t xml:space="preserve"> </w:t>
      </w:r>
      <w:r w:rsidR="00B84480">
        <w:t xml:space="preserve">According to our interpretation of the WID, </w:t>
      </w:r>
      <w:r w:rsidR="006F696F">
        <w:t>we believe that Option 2 should be the primary fo</w:t>
      </w:r>
      <w:r w:rsidR="00B84480">
        <w:t xml:space="preserve">cus of RAN2 discussions. </w:t>
      </w:r>
      <w:r w:rsidR="0041672B">
        <w:t xml:space="preserve">Further deliberation can be </w:t>
      </w:r>
      <w:r w:rsidR="00A63C0C">
        <w:t>centred</w:t>
      </w:r>
      <w:r w:rsidR="0041672B">
        <w:t xml:space="preserve"> in defining UE behaviour when </w:t>
      </w:r>
      <w:r w:rsidR="00D4646D">
        <w:t>the UE</w:t>
      </w:r>
      <w:r w:rsidR="0041672B">
        <w:t xml:space="preserve"> receives the</w:t>
      </w:r>
      <w:r w:rsidR="00D4646D">
        <w:t xml:space="preserve"> MBS</w:t>
      </w:r>
      <w:r w:rsidR="0041672B">
        <w:t xml:space="preserve"> broadcast service </w:t>
      </w:r>
      <w:r w:rsidR="00A63C0C">
        <w:t xml:space="preserve">while located outside the intended service area. For example, a UE interested in </w:t>
      </w:r>
      <w:r w:rsidR="00564E3C">
        <w:t>an</w:t>
      </w:r>
      <w:r w:rsidR="00A63C0C">
        <w:t xml:space="preserve"> </w:t>
      </w:r>
      <w:r w:rsidR="00D4646D">
        <w:t>MBS broadcast service</w:t>
      </w:r>
      <w:r w:rsidR="00A63C0C">
        <w:t xml:space="preserve"> should not establish its MRB(s) related to that service if it is located outside the intended service area. Similarly, a UE receiving an MBS broadcast service should release its related MRB(s) when moving out of the intended service area. </w:t>
      </w:r>
      <w:r w:rsidR="00317FAF">
        <w:t xml:space="preserve">Finally, </w:t>
      </w:r>
      <w:r w:rsidR="007F312E">
        <w:t>Option 1 could</w:t>
      </w:r>
      <w:r w:rsidR="00956762">
        <w:t xml:space="preserve"> be achieved borrowing massive MIMO concepts such as narrow traffic beams. However, they may</w:t>
      </w:r>
      <w:r w:rsidR="007F312E">
        <w:t xml:space="preserve"> impose </w:t>
      </w:r>
      <w:r w:rsidR="00317FAF">
        <w:t>unnecessary deployment limitations</w:t>
      </w:r>
      <w:r w:rsidR="007F312E">
        <w:t xml:space="preserve"> </w:t>
      </w:r>
      <w:r w:rsidR="00023592">
        <w:t xml:space="preserve">for satellites </w:t>
      </w:r>
      <w:r w:rsidR="007F312E">
        <w:t>and increase complexity</w:t>
      </w:r>
      <w:r w:rsidR="00956762">
        <w:t xml:space="preserve"> for a broadcast service</w:t>
      </w:r>
      <w:r w:rsidR="00317FAF">
        <w:t>.</w:t>
      </w:r>
      <w:r w:rsidR="00D04498">
        <w:t xml:space="preserve"> Besides, a similar effect can be achieved utilizing smaller cells.</w:t>
      </w:r>
      <w:r w:rsidR="00317FAF">
        <w:t xml:space="preserve"> </w:t>
      </w:r>
    </w:p>
    <w:p w14:paraId="6B4E8645" w14:textId="38589335" w:rsidR="00C02541" w:rsidRDefault="00D94645" w:rsidP="00F3320A">
      <w:pPr>
        <w:pStyle w:val="Proposal"/>
      </w:pPr>
      <w:bookmarkStart w:id="2" w:name="_Toc166143025"/>
      <w:bookmarkStart w:id="3" w:name="_Toc347823621"/>
      <w:bookmarkStart w:id="4" w:name="_Toc347824073"/>
      <w:bookmarkStart w:id="5" w:name="_Toc347824246"/>
      <w:r>
        <w:t>Even if the</w:t>
      </w:r>
      <w:r w:rsidR="00E1314D" w:rsidRPr="00E1314D">
        <w:t xml:space="preserve"> </w:t>
      </w:r>
      <w:r>
        <w:t xml:space="preserve">intended MBS broadcast </w:t>
      </w:r>
      <w:r w:rsidR="00E1314D" w:rsidRPr="00E1314D">
        <w:t xml:space="preserve">service area is </w:t>
      </w:r>
      <w:r>
        <w:t xml:space="preserve">limited to </w:t>
      </w:r>
      <w:r w:rsidR="00E1314D" w:rsidRPr="00E1314D">
        <w:t>a portion of an NTN cell</w:t>
      </w:r>
      <w:r>
        <w:t>, the</w:t>
      </w:r>
      <w:r w:rsidR="00E1314D" w:rsidRPr="00E1314D">
        <w:t xml:space="preserve"> content of the service can be received within the whole cell.</w:t>
      </w:r>
      <w:bookmarkEnd w:id="2"/>
    </w:p>
    <w:p w14:paraId="6B644E83" w14:textId="2C02531E" w:rsidR="002D16E8" w:rsidRDefault="002D16E8" w:rsidP="002D16E8">
      <w:pPr>
        <w:pStyle w:val="Proposal"/>
      </w:pPr>
      <w:bookmarkStart w:id="6" w:name="_Toc166143026"/>
      <w:r>
        <w:t xml:space="preserve">A UE does not establish MBR(s) associated with a service limited to an intended service area when </w:t>
      </w:r>
      <w:r w:rsidR="001C0B1D">
        <w:t>it is not located within</w:t>
      </w:r>
      <w:r>
        <w:t xml:space="preserve"> the area.</w:t>
      </w:r>
      <w:bookmarkEnd w:id="6"/>
    </w:p>
    <w:p w14:paraId="7D324263" w14:textId="3A1C1B08" w:rsidR="002D16E8" w:rsidRDefault="002D16E8" w:rsidP="00F3320A">
      <w:pPr>
        <w:pStyle w:val="Proposal"/>
      </w:pPr>
      <w:bookmarkStart w:id="7" w:name="_Toc166143027"/>
      <w:r>
        <w:t>A UE releases its established MBR(s) associated with a service limited to an intended service area when exiting the area.</w:t>
      </w:r>
      <w:bookmarkEnd w:id="7"/>
    </w:p>
    <w:p w14:paraId="73045A37" w14:textId="6E0C0B93" w:rsidR="002A2D02" w:rsidRDefault="002A2D02" w:rsidP="002A2D02">
      <w:pPr>
        <w:pStyle w:val="Heading2"/>
      </w:pPr>
      <w:r>
        <w:t>2.2.</w:t>
      </w:r>
      <w:r>
        <w:tab/>
        <w:t>Provision of intended service area</w:t>
      </w:r>
    </w:p>
    <w:p w14:paraId="782D6548" w14:textId="389C5939" w:rsidR="00001C3C" w:rsidRDefault="00285112" w:rsidP="00001C3C">
      <w:r>
        <w:t xml:space="preserve">Again, in adherence to the </w:t>
      </w:r>
      <w:r w:rsidR="00783DCC">
        <w:t>WID</w:t>
      </w:r>
      <w:r w:rsidR="00001C3C">
        <w:t>, we advocate for adopting a straightforward approach, steering clear of overly complex solutions. Given that the service area information is identical for all UEs in the cell (and within the area itself) and the service provided is broadcast, we believe that the indication should be exclusively provided via system information broadcast.</w:t>
      </w:r>
    </w:p>
    <w:p w14:paraId="5F1D99B9" w14:textId="5472532A" w:rsidR="00F3320A" w:rsidRDefault="00001C3C" w:rsidP="00001C3C">
      <w:pPr>
        <w:pStyle w:val="Proposal"/>
      </w:pPr>
      <w:bookmarkStart w:id="8" w:name="_Toc166143028"/>
      <w:r>
        <w:t>MBS b</w:t>
      </w:r>
      <w:r w:rsidR="00F3320A" w:rsidRPr="00F3320A">
        <w:t>roadcast intended service area is provided via system information.</w:t>
      </w:r>
      <w:bookmarkEnd w:id="8"/>
    </w:p>
    <w:p w14:paraId="6D1DF360" w14:textId="11074097" w:rsidR="000D086A" w:rsidRDefault="00365447" w:rsidP="000D086A">
      <w:r w:rsidRPr="00365447">
        <w:t xml:space="preserve">There are three primary methods for providing the intended service area: through SIB20, SIB21, or </w:t>
      </w:r>
      <w:r w:rsidRPr="000D086A">
        <w:rPr>
          <w:i/>
          <w:iCs/>
        </w:rPr>
        <w:t>MBSBroadcastConfiguration</w:t>
      </w:r>
      <w:r w:rsidRPr="00365447">
        <w:t xml:space="preserve">. Contribution [3] offers a succinct analysis of the advantages and drawbacks of each solution, along with the potential implications of adopting each one. While introducing a new SIB could be an alternative, we deem it unnecessary. We propose that RAN2 </w:t>
      </w:r>
      <w:r w:rsidR="000D086A">
        <w:t>narrows down</w:t>
      </w:r>
      <w:r w:rsidRPr="00365447">
        <w:t xml:space="preserve"> the alternatives and consider only these </w:t>
      </w:r>
      <w:r w:rsidR="000D086A">
        <w:t xml:space="preserve">three </w:t>
      </w:r>
      <w:r w:rsidRPr="00365447">
        <w:t>possibilities</w:t>
      </w:r>
      <w:r w:rsidR="000D086A">
        <w:t xml:space="preserve"> (</w:t>
      </w:r>
      <w:r w:rsidR="000D086A" w:rsidRPr="00365447">
        <w:t xml:space="preserve">SIB20, SIB21, or </w:t>
      </w:r>
      <w:r w:rsidR="000D086A" w:rsidRPr="000D086A">
        <w:rPr>
          <w:i/>
          <w:iCs/>
        </w:rPr>
        <w:t>MBSBroadcastConfiguration</w:t>
      </w:r>
      <w:r w:rsidR="000D086A">
        <w:t>)</w:t>
      </w:r>
      <w:r w:rsidRPr="00365447">
        <w:t xml:space="preserve"> for including the service area information.</w:t>
      </w:r>
      <w:bookmarkEnd w:id="3"/>
      <w:bookmarkEnd w:id="4"/>
      <w:bookmarkEnd w:id="5"/>
    </w:p>
    <w:p w14:paraId="0F3B5FBE" w14:textId="2EE04759" w:rsidR="007F2276" w:rsidRDefault="008C175B" w:rsidP="000D086A">
      <w:pPr>
        <w:pStyle w:val="Proposal"/>
      </w:pPr>
      <w:bookmarkStart w:id="9" w:name="_Toc166143029"/>
      <w:r w:rsidRPr="008C175B">
        <w:t>RAN2 consider</w:t>
      </w:r>
      <w:r w:rsidR="00EE01F9">
        <w:t>s</w:t>
      </w:r>
      <w:r w:rsidRPr="008C175B">
        <w:t xml:space="preserve"> the following possibilities for including the service area information: SIB20/ SIB21/ </w:t>
      </w:r>
      <w:r w:rsidRPr="000D086A">
        <w:rPr>
          <w:i/>
          <w:iCs/>
        </w:rPr>
        <w:t>MBSBroadcastConfiguration</w:t>
      </w:r>
      <w:r w:rsidR="001E043E">
        <w:t>.</w:t>
      </w:r>
      <w:bookmarkEnd w:id="9"/>
    </w:p>
    <w:p w14:paraId="658B3B3B" w14:textId="6D13F3FA" w:rsidR="00247ACD" w:rsidRPr="00247ACD" w:rsidRDefault="00247ACD" w:rsidP="00247ACD">
      <w:pPr>
        <w:overflowPunct/>
        <w:autoSpaceDE/>
        <w:autoSpaceDN/>
        <w:adjustRightInd/>
        <w:spacing w:after="0"/>
        <w:jc w:val="left"/>
        <w:textAlignment w:val="auto"/>
        <w:rPr>
          <w:b/>
          <w:bCs/>
          <w:lang w:eastAsia="zh-CN"/>
        </w:rPr>
      </w:pPr>
      <w:r>
        <w:br w:type="page"/>
      </w:r>
    </w:p>
    <w:p w14:paraId="1460E885" w14:textId="73D4AA8E" w:rsidR="007F2276" w:rsidRPr="00CE0424" w:rsidRDefault="002A2D02" w:rsidP="007F2276">
      <w:pPr>
        <w:pStyle w:val="Heading1"/>
      </w:pPr>
      <w:r>
        <w:lastRenderedPageBreak/>
        <w:t>3</w:t>
      </w:r>
      <w:r>
        <w:tab/>
      </w:r>
      <w:r w:rsidR="007F2276" w:rsidRPr="00CE0424">
        <w:t>Conclusion</w:t>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3D4731" w14:textId="31A3801E" w:rsidR="00BE08D4"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43024" w:history="1">
        <w:r w:rsidR="00BE08D4" w:rsidRPr="00807CC7">
          <w:rPr>
            <w:rStyle w:val="Hyperlink"/>
            <w:noProof/>
          </w:rPr>
          <w:t>Proposal 1</w:t>
        </w:r>
        <w:r w:rsidR="00BE08D4">
          <w:rPr>
            <w:rFonts w:asciiTheme="minorHAnsi" w:eastAsiaTheme="minorEastAsia" w:hAnsiTheme="minorHAnsi" w:cstheme="minorBidi"/>
            <w:b w:val="0"/>
            <w:noProof/>
            <w:kern w:val="2"/>
            <w:sz w:val="22"/>
            <w:szCs w:val="22"/>
            <w:lang w:val="en-SE" w:eastAsia="en-SE"/>
            <w14:ligatures w14:val="standardContextual"/>
          </w:rPr>
          <w:tab/>
        </w:r>
        <w:r w:rsidR="00BE08D4" w:rsidRPr="00807CC7">
          <w:rPr>
            <w:rStyle w:val="Hyperlink"/>
            <w:noProof/>
          </w:rPr>
          <w:t>For MBS broadcast service, both EFC and EMC are supported.</w:t>
        </w:r>
      </w:hyperlink>
    </w:p>
    <w:p w14:paraId="05E126E7" w14:textId="30158DFA" w:rsidR="00BE08D4" w:rsidRDefault="00F0761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3025" w:history="1">
        <w:r w:rsidR="00BE08D4" w:rsidRPr="00807CC7">
          <w:rPr>
            <w:rStyle w:val="Hyperlink"/>
            <w:noProof/>
          </w:rPr>
          <w:t>Proposal 2</w:t>
        </w:r>
        <w:r w:rsidR="00BE08D4">
          <w:rPr>
            <w:rFonts w:asciiTheme="minorHAnsi" w:eastAsiaTheme="minorEastAsia" w:hAnsiTheme="minorHAnsi" w:cstheme="minorBidi"/>
            <w:b w:val="0"/>
            <w:noProof/>
            <w:kern w:val="2"/>
            <w:sz w:val="22"/>
            <w:szCs w:val="22"/>
            <w:lang w:val="en-SE" w:eastAsia="en-SE"/>
            <w14:ligatures w14:val="standardContextual"/>
          </w:rPr>
          <w:tab/>
        </w:r>
        <w:r w:rsidR="00BE08D4" w:rsidRPr="00807CC7">
          <w:rPr>
            <w:rStyle w:val="Hyperlink"/>
            <w:noProof/>
          </w:rPr>
          <w:t>Even if the intended MBS broadcast service area is limited to a portion of an NTN cell, the content of the service can be received within the whole cell.</w:t>
        </w:r>
      </w:hyperlink>
    </w:p>
    <w:p w14:paraId="299E2863" w14:textId="50A291F4" w:rsidR="00BE08D4" w:rsidRDefault="00F0761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3026" w:history="1">
        <w:r w:rsidR="00BE08D4" w:rsidRPr="00807CC7">
          <w:rPr>
            <w:rStyle w:val="Hyperlink"/>
            <w:noProof/>
          </w:rPr>
          <w:t>Proposal 3</w:t>
        </w:r>
        <w:r w:rsidR="00BE08D4">
          <w:rPr>
            <w:rFonts w:asciiTheme="minorHAnsi" w:eastAsiaTheme="minorEastAsia" w:hAnsiTheme="minorHAnsi" w:cstheme="minorBidi"/>
            <w:b w:val="0"/>
            <w:noProof/>
            <w:kern w:val="2"/>
            <w:sz w:val="22"/>
            <w:szCs w:val="22"/>
            <w:lang w:val="en-SE" w:eastAsia="en-SE"/>
            <w14:ligatures w14:val="standardContextual"/>
          </w:rPr>
          <w:tab/>
        </w:r>
        <w:r w:rsidR="00BE08D4" w:rsidRPr="00807CC7">
          <w:rPr>
            <w:rStyle w:val="Hyperlink"/>
            <w:noProof/>
          </w:rPr>
          <w:t>A UE does not establish MBR(s) associated with a service limited to an intended service area when it is not located within the area.</w:t>
        </w:r>
      </w:hyperlink>
    </w:p>
    <w:p w14:paraId="338027D8" w14:textId="589BD788" w:rsidR="00BE08D4" w:rsidRDefault="00F0761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3027" w:history="1">
        <w:r w:rsidR="00BE08D4" w:rsidRPr="00807CC7">
          <w:rPr>
            <w:rStyle w:val="Hyperlink"/>
            <w:noProof/>
          </w:rPr>
          <w:t>Proposal 4</w:t>
        </w:r>
        <w:r w:rsidR="00BE08D4">
          <w:rPr>
            <w:rFonts w:asciiTheme="minorHAnsi" w:eastAsiaTheme="minorEastAsia" w:hAnsiTheme="minorHAnsi" w:cstheme="minorBidi"/>
            <w:b w:val="0"/>
            <w:noProof/>
            <w:kern w:val="2"/>
            <w:sz w:val="22"/>
            <w:szCs w:val="22"/>
            <w:lang w:val="en-SE" w:eastAsia="en-SE"/>
            <w14:ligatures w14:val="standardContextual"/>
          </w:rPr>
          <w:tab/>
        </w:r>
        <w:r w:rsidR="00BE08D4" w:rsidRPr="00807CC7">
          <w:rPr>
            <w:rStyle w:val="Hyperlink"/>
            <w:noProof/>
          </w:rPr>
          <w:t>A UE releases its established MBR(s) associated with a service limited to an intended service area when exiting the area.</w:t>
        </w:r>
      </w:hyperlink>
    </w:p>
    <w:p w14:paraId="5685670E" w14:textId="6F57912B" w:rsidR="00BE08D4" w:rsidRDefault="00F0761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3028" w:history="1">
        <w:r w:rsidR="00BE08D4" w:rsidRPr="00807CC7">
          <w:rPr>
            <w:rStyle w:val="Hyperlink"/>
            <w:noProof/>
          </w:rPr>
          <w:t>Proposal 5</w:t>
        </w:r>
        <w:r w:rsidR="00BE08D4">
          <w:rPr>
            <w:rFonts w:asciiTheme="minorHAnsi" w:eastAsiaTheme="minorEastAsia" w:hAnsiTheme="minorHAnsi" w:cstheme="minorBidi"/>
            <w:b w:val="0"/>
            <w:noProof/>
            <w:kern w:val="2"/>
            <w:sz w:val="22"/>
            <w:szCs w:val="22"/>
            <w:lang w:val="en-SE" w:eastAsia="en-SE"/>
            <w14:ligatures w14:val="standardContextual"/>
          </w:rPr>
          <w:tab/>
        </w:r>
        <w:r w:rsidR="00BE08D4" w:rsidRPr="00807CC7">
          <w:rPr>
            <w:rStyle w:val="Hyperlink"/>
            <w:noProof/>
          </w:rPr>
          <w:t>MBS broadcast intended service area is provided via system information.</w:t>
        </w:r>
      </w:hyperlink>
    </w:p>
    <w:p w14:paraId="56CF58E7" w14:textId="10414AE9" w:rsidR="00BE08D4" w:rsidRDefault="00F0761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3029" w:history="1">
        <w:r w:rsidR="00BE08D4" w:rsidRPr="00807CC7">
          <w:rPr>
            <w:rStyle w:val="Hyperlink"/>
            <w:noProof/>
          </w:rPr>
          <w:t>Proposal 6</w:t>
        </w:r>
        <w:r w:rsidR="00BE08D4">
          <w:rPr>
            <w:rFonts w:asciiTheme="minorHAnsi" w:eastAsiaTheme="minorEastAsia" w:hAnsiTheme="minorHAnsi" w:cstheme="minorBidi"/>
            <w:b w:val="0"/>
            <w:noProof/>
            <w:kern w:val="2"/>
            <w:sz w:val="22"/>
            <w:szCs w:val="22"/>
            <w:lang w:val="en-SE" w:eastAsia="en-SE"/>
            <w14:ligatures w14:val="standardContextual"/>
          </w:rPr>
          <w:tab/>
        </w:r>
        <w:r w:rsidR="00BE08D4" w:rsidRPr="00807CC7">
          <w:rPr>
            <w:rStyle w:val="Hyperlink"/>
            <w:noProof/>
          </w:rPr>
          <w:t xml:space="preserve">RAN2 considers the following possibilities for including the service area information: SIB20/ SIB21/ </w:t>
        </w:r>
        <w:r w:rsidR="00BE08D4" w:rsidRPr="00807CC7">
          <w:rPr>
            <w:rStyle w:val="Hyperlink"/>
            <w:i/>
            <w:iCs/>
            <w:noProof/>
          </w:rPr>
          <w:t>MBSBroadcastConfiguration</w:t>
        </w:r>
        <w:r w:rsidR="00BE08D4" w:rsidRPr="00807CC7">
          <w:rPr>
            <w:rStyle w:val="Hyperlink"/>
            <w:noProof/>
          </w:rPr>
          <w:t>.</w:t>
        </w:r>
      </w:hyperlink>
    </w:p>
    <w:p w14:paraId="53922BF6" w14:textId="6B92876F" w:rsidR="00C01F33" w:rsidRPr="00AB030D" w:rsidRDefault="006E1C82" w:rsidP="00AB030D">
      <w:pPr>
        <w:pStyle w:val="BodyText"/>
        <w:rPr>
          <w:b/>
          <w:bCs/>
        </w:rPr>
      </w:pPr>
      <w:r>
        <w:rPr>
          <w:b/>
          <w:bCs/>
          <w:lang w:val="en-US"/>
        </w:rPr>
        <w:fldChar w:fldCharType="end"/>
      </w:r>
    </w:p>
    <w:p w14:paraId="29AD60D9" w14:textId="77777777" w:rsidR="00F507D1" w:rsidRPr="00CE0424" w:rsidRDefault="00F507D1" w:rsidP="00CE0424">
      <w:pPr>
        <w:pStyle w:val="Heading1"/>
      </w:pPr>
      <w:bookmarkStart w:id="10" w:name="_In-sequence_SDU_delivery"/>
      <w:bookmarkEnd w:id="10"/>
      <w:r w:rsidRPr="00CE0424">
        <w:t>References</w:t>
      </w:r>
    </w:p>
    <w:p w14:paraId="6FECCF80" w14:textId="6C6AF025" w:rsidR="003A7EF3" w:rsidRDefault="00A52BC8" w:rsidP="00CE0424">
      <w:pPr>
        <w:pStyle w:val="Reference"/>
        <w:overflowPunct/>
        <w:autoSpaceDE/>
        <w:autoSpaceDN/>
        <w:adjustRightInd/>
        <w:spacing w:line="259" w:lineRule="auto"/>
        <w:textAlignment w:val="auto"/>
      </w:pPr>
      <w:bookmarkStart w:id="11" w:name="_Ref42716514"/>
      <w:bookmarkStart w:id="12" w:name="_Ref45286859"/>
      <w:bookmarkStart w:id="13" w:name="_Ref174151459"/>
      <w:bookmarkStart w:id="14" w:name="_Ref189809556"/>
      <w:r w:rsidRPr="003905B0">
        <w:t>RP-2</w:t>
      </w:r>
      <w:r>
        <w:t>40775</w:t>
      </w:r>
      <w:r w:rsidRPr="00663F19">
        <w:t>, “</w:t>
      </w:r>
      <w:r w:rsidRPr="00DF0344">
        <w:t>Revised WID: Non-Terrestrial Networks (NTN) for NR Phase 3</w:t>
      </w:r>
      <w:r w:rsidRPr="00EB6DCE">
        <w:t>” 3GPP TSG RAN#</w:t>
      </w:r>
      <w:r>
        <w:t>103</w:t>
      </w:r>
      <w:r w:rsidRPr="00EB6DCE">
        <w:t xml:space="preserve">, </w:t>
      </w:r>
      <w:bookmarkEnd w:id="11"/>
      <w:r>
        <w:t>Mar. 2024</w:t>
      </w:r>
      <w:r w:rsidRPr="00EB6DCE">
        <w:t>.</w:t>
      </w:r>
      <w:bookmarkEnd w:id="12"/>
      <w:bookmarkEnd w:id="13"/>
      <w:bookmarkEnd w:id="14"/>
    </w:p>
    <w:p w14:paraId="685FB1A6" w14:textId="3D10152F" w:rsidR="00065D63" w:rsidRDefault="00065D63" w:rsidP="00CE0424">
      <w:pPr>
        <w:pStyle w:val="Reference"/>
        <w:overflowPunct/>
        <w:autoSpaceDE/>
        <w:autoSpaceDN/>
        <w:adjustRightInd/>
        <w:spacing w:line="259" w:lineRule="auto"/>
        <w:textAlignment w:val="auto"/>
      </w:pPr>
      <w:r w:rsidRPr="00D92C38">
        <w:t>R2-2402355</w:t>
      </w:r>
      <w:r w:rsidR="00701C85">
        <w:t xml:space="preserve">, Discussion on support of broadcast service via NR NTN, </w:t>
      </w:r>
      <w:r w:rsidR="007B142E">
        <w:rPr>
          <w:rFonts w:eastAsia="MS Mincho"/>
        </w:rPr>
        <w:t>CATT</w:t>
      </w:r>
      <w:r w:rsidR="007B142E">
        <w:t>, China Broadnet</w:t>
      </w:r>
    </w:p>
    <w:p w14:paraId="4F4A7FB6" w14:textId="5B005E26" w:rsidR="00E17CC5" w:rsidRPr="00CE0424" w:rsidRDefault="00E17CC5" w:rsidP="00CE0424">
      <w:pPr>
        <w:pStyle w:val="Reference"/>
        <w:overflowPunct/>
        <w:autoSpaceDE/>
        <w:autoSpaceDN/>
        <w:adjustRightInd/>
        <w:spacing w:line="259" w:lineRule="auto"/>
        <w:textAlignment w:val="auto"/>
      </w:pPr>
      <w:r w:rsidRPr="00E17CC5">
        <w:t>R2-2402826</w:t>
      </w:r>
      <w:r w:rsidR="00787630">
        <w:t xml:space="preserve">, </w:t>
      </w:r>
      <w:r w:rsidR="00787630" w:rsidRPr="00787630">
        <w:t>Overview of MBS over NTN</w:t>
      </w:r>
      <w:r w:rsidR="00787630">
        <w:t xml:space="preserve">, </w:t>
      </w:r>
      <w:r w:rsidR="00787630" w:rsidRPr="00787630">
        <w:t>Huawei, HiSilicon, Turkcell</w:t>
      </w:r>
      <w:r w:rsidR="00787630">
        <w:t>, RAN2#125bis, China, 2024.</w:t>
      </w:r>
    </w:p>
    <w:sectPr w:rsidR="00E17CC5"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A2ED1" w14:textId="77777777" w:rsidR="00AA5890" w:rsidRDefault="00AA5890">
      <w:r>
        <w:separator/>
      </w:r>
    </w:p>
  </w:endnote>
  <w:endnote w:type="continuationSeparator" w:id="0">
    <w:p w14:paraId="7FF08958" w14:textId="77777777" w:rsidR="00AA5890" w:rsidRDefault="00AA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4AFBE" w14:textId="77777777" w:rsidR="00AA5890" w:rsidRDefault="00AA5890">
      <w:r>
        <w:separator/>
      </w:r>
    </w:p>
  </w:footnote>
  <w:footnote w:type="continuationSeparator" w:id="0">
    <w:p w14:paraId="6DD6C3BA" w14:textId="77777777" w:rsidR="00AA5890" w:rsidRDefault="00AA5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B6467"/>
    <w:multiLevelType w:val="hybridMultilevel"/>
    <w:tmpl w:val="C038B1E2"/>
    <w:lvl w:ilvl="0" w:tplc="523C47A0">
      <w:start w:val="1"/>
      <w:numFmt w:val="decimal"/>
      <w:lvlText w:val="%1."/>
      <w:lvlJc w:val="left"/>
      <w:pPr>
        <w:ind w:left="1080" w:hanging="720"/>
      </w:pPr>
      <w:rPr>
        <w:rFonts w:hint="default"/>
      </w:rPr>
    </w:lvl>
    <w:lvl w:ilvl="1" w:tplc="AC26A422">
      <w:start w:val="6"/>
      <w:numFmt w:val="bullet"/>
      <w:lvlText w:val="-"/>
      <w:lvlJc w:val="left"/>
      <w:pPr>
        <w:ind w:left="1440" w:hanging="360"/>
      </w:pPr>
      <w:rPr>
        <w:rFonts w:ascii="Times New Roman" w:eastAsiaTheme="minorEastAsia"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524D58"/>
    <w:multiLevelType w:val="hybridMultilevel"/>
    <w:tmpl w:val="F81CF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E01F56"/>
    <w:multiLevelType w:val="hybridMultilevel"/>
    <w:tmpl w:val="A614E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53582480">
    <w:abstractNumId w:val="4"/>
  </w:num>
  <w:num w:numId="2" w16cid:durableId="1639341018">
    <w:abstractNumId w:val="19"/>
  </w:num>
  <w:num w:numId="3" w16cid:durableId="149030463">
    <w:abstractNumId w:val="14"/>
  </w:num>
  <w:num w:numId="4" w16cid:durableId="1793861358">
    <w:abstractNumId w:val="15"/>
  </w:num>
  <w:num w:numId="5" w16cid:durableId="1243223580">
    <w:abstractNumId w:val="11"/>
  </w:num>
  <w:num w:numId="6" w16cid:durableId="228659845">
    <w:abstractNumId w:val="17"/>
  </w:num>
  <w:num w:numId="7" w16cid:durableId="758915933">
    <w:abstractNumId w:val="22"/>
  </w:num>
  <w:num w:numId="8" w16cid:durableId="779645832">
    <w:abstractNumId w:val="12"/>
  </w:num>
  <w:num w:numId="9" w16cid:durableId="237790278">
    <w:abstractNumId w:val="9"/>
  </w:num>
  <w:num w:numId="10" w16cid:durableId="1774858864">
    <w:abstractNumId w:val="2"/>
  </w:num>
  <w:num w:numId="11" w16cid:durableId="98722567">
    <w:abstractNumId w:val="1"/>
  </w:num>
  <w:num w:numId="12" w16cid:durableId="818768327">
    <w:abstractNumId w:val="0"/>
  </w:num>
  <w:num w:numId="13" w16cid:durableId="1463575834">
    <w:abstractNumId w:val="20"/>
  </w:num>
  <w:num w:numId="14" w16cid:durableId="1237780611">
    <w:abstractNumId w:val="21"/>
  </w:num>
  <w:num w:numId="15" w16cid:durableId="1303653466">
    <w:abstractNumId w:val="16"/>
  </w:num>
  <w:num w:numId="16" w16cid:durableId="1461000268">
    <w:abstractNumId w:val="23"/>
  </w:num>
  <w:num w:numId="17" w16cid:durableId="2068138227">
    <w:abstractNumId w:val="7"/>
  </w:num>
  <w:num w:numId="18" w16cid:durableId="458114767">
    <w:abstractNumId w:val="8"/>
  </w:num>
  <w:num w:numId="19" w16cid:durableId="995108944">
    <w:abstractNumId w:val="5"/>
  </w:num>
  <w:num w:numId="20" w16cid:durableId="822239829">
    <w:abstractNumId w:val="26"/>
  </w:num>
  <w:num w:numId="21" w16cid:durableId="976183084">
    <w:abstractNumId w:val="13"/>
  </w:num>
  <w:num w:numId="22" w16cid:durableId="1374117700">
    <w:abstractNumId w:val="24"/>
  </w:num>
  <w:num w:numId="23" w16cid:durableId="5834199">
    <w:abstractNumId w:val="25"/>
  </w:num>
  <w:num w:numId="24" w16cid:durableId="1334794118">
    <w:abstractNumId w:val="14"/>
  </w:num>
  <w:num w:numId="25" w16cid:durableId="1105659129">
    <w:abstractNumId w:val="27"/>
    <w:lvlOverride w:ilvl="0">
      <w:startOverride w:val="1"/>
    </w:lvlOverride>
    <w:lvlOverride w:ilvl="1"/>
    <w:lvlOverride w:ilvl="2"/>
    <w:lvlOverride w:ilvl="3"/>
    <w:lvlOverride w:ilvl="4"/>
    <w:lvlOverride w:ilvl="5"/>
    <w:lvlOverride w:ilvl="6"/>
    <w:lvlOverride w:ilvl="7"/>
    <w:lvlOverride w:ilvl="8"/>
  </w:num>
  <w:num w:numId="26" w16cid:durableId="1766070751">
    <w:abstractNumId w:val="10"/>
  </w:num>
  <w:num w:numId="27" w16cid:durableId="1813210317">
    <w:abstractNumId w:val="6"/>
  </w:num>
  <w:num w:numId="28" w16cid:durableId="1690597658">
    <w:abstractNumId w:val="3"/>
  </w:num>
  <w:num w:numId="29" w16cid:durableId="811560755">
    <w:abstractNumId w:val="18"/>
  </w:num>
  <w:num w:numId="30" w16cid:durableId="1346402184">
    <w:abstractNumId w:val="14"/>
  </w:num>
  <w:num w:numId="31" w16cid:durableId="118516697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C3C"/>
    <w:rsid w:val="00002A37"/>
    <w:rsid w:val="0000564C"/>
    <w:rsid w:val="00006446"/>
    <w:rsid w:val="00006896"/>
    <w:rsid w:val="00007CDC"/>
    <w:rsid w:val="00011B28"/>
    <w:rsid w:val="00015D15"/>
    <w:rsid w:val="00023592"/>
    <w:rsid w:val="0002564D"/>
    <w:rsid w:val="00025ECA"/>
    <w:rsid w:val="000325B8"/>
    <w:rsid w:val="00034C15"/>
    <w:rsid w:val="00036BA1"/>
    <w:rsid w:val="000422E2"/>
    <w:rsid w:val="00042F22"/>
    <w:rsid w:val="000444EF"/>
    <w:rsid w:val="00046F3E"/>
    <w:rsid w:val="00052A07"/>
    <w:rsid w:val="000534E3"/>
    <w:rsid w:val="0005606A"/>
    <w:rsid w:val="00057117"/>
    <w:rsid w:val="000616E7"/>
    <w:rsid w:val="0006487E"/>
    <w:rsid w:val="00065D63"/>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86A"/>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B7F"/>
    <w:rsid w:val="001219F5"/>
    <w:rsid w:val="00121A20"/>
    <w:rsid w:val="0012377F"/>
    <w:rsid w:val="00124314"/>
    <w:rsid w:val="00126B4A"/>
    <w:rsid w:val="00130DDC"/>
    <w:rsid w:val="00132FD0"/>
    <w:rsid w:val="001344C0"/>
    <w:rsid w:val="001346FA"/>
    <w:rsid w:val="00135252"/>
    <w:rsid w:val="00137AB5"/>
    <w:rsid w:val="00137F0B"/>
    <w:rsid w:val="001437F4"/>
    <w:rsid w:val="00151E23"/>
    <w:rsid w:val="001526E0"/>
    <w:rsid w:val="001551B5"/>
    <w:rsid w:val="001565D2"/>
    <w:rsid w:val="0016254D"/>
    <w:rsid w:val="001659C1"/>
    <w:rsid w:val="00173A8E"/>
    <w:rsid w:val="0017502C"/>
    <w:rsid w:val="0018143F"/>
    <w:rsid w:val="00181FF8"/>
    <w:rsid w:val="00190AC1"/>
    <w:rsid w:val="001921FD"/>
    <w:rsid w:val="0019341A"/>
    <w:rsid w:val="00197BF9"/>
    <w:rsid w:val="00197DF9"/>
    <w:rsid w:val="001A1987"/>
    <w:rsid w:val="001A2564"/>
    <w:rsid w:val="001A6173"/>
    <w:rsid w:val="001A6CBA"/>
    <w:rsid w:val="001B0D97"/>
    <w:rsid w:val="001B5A5D"/>
    <w:rsid w:val="001C0B1D"/>
    <w:rsid w:val="001C1CE5"/>
    <w:rsid w:val="001C3D2A"/>
    <w:rsid w:val="001D51BA"/>
    <w:rsid w:val="001D53E7"/>
    <w:rsid w:val="001D6342"/>
    <w:rsid w:val="001D6D53"/>
    <w:rsid w:val="001E043E"/>
    <w:rsid w:val="001E58E2"/>
    <w:rsid w:val="001E694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6999"/>
    <w:rsid w:val="00247ACD"/>
    <w:rsid w:val="002500C8"/>
    <w:rsid w:val="00257543"/>
    <w:rsid w:val="002615E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112"/>
    <w:rsid w:val="00286ACD"/>
    <w:rsid w:val="00287838"/>
    <w:rsid w:val="002907B5"/>
    <w:rsid w:val="00292EB7"/>
    <w:rsid w:val="00296227"/>
    <w:rsid w:val="00296F44"/>
    <w:rsid w:val="0029777D"/>
    <w:rsid w:val="002A055E"/>
    <w:rsid w:val="002A1D4E"/>
    <w:rsid w:val="002A2869"/>
    <w:rsid w:val="002A2D02"/>
    <w:rsid w:val="002A4CD8"/>
    <w:rsid w:val="002B24D6"/>
    <w:rsid w:val="002C41E6"/>
    <w:rsid w:val="002C6AA0"/>
    <w:rsid w:val="002D071A"/>
    <w:rsid w:val="002D16E8"/>
    <w:rsid w:val="002D34B2"/>
    <w:rsid w:val="002D48B0"/>
    <w:rsid w:val="002D5B37"/>
    <w:rsid w:val="002D7637"/>
    <w:rsid w:val="002E17F2"/>
    <w:rsid w:val="002E7CAE"/>
    <w:rsid w:val="002F2771"/>
    <w:rsid w:val="002F37A9"/>
    <w:rsid w:val="002F4B0D"/>
    <w:rsid w:val="00301CE6"/>
    <w:rsid w:val="0030256B"/>
    <w:rsid w:val="0030501F"/>
    <w:rsid w:val="00307BA1"/>
    <w:rsid w:val="00310B14"/>
    <w:rsid w:val="00311702"/>
    <w:rsid w:val="00311E82"/>
    <w:rsid w:val="00313FD6"/>
    <w:rsid w:val="003143BD"/>
    <w:rsid w:val="00315363"/>
    <w:rsid w:val="00317E12"/>
    <w:rsid w:val="00317FAF"/>
    <w:rsid w:val="003203ED"/>
    <w:rsid w:val="00322C9F"/>
    <w:rsid w:val="00324D23"/>
    <w:rsid w:val="00331751"/>
    <w:rsid w:val="00334579"/>
    <w:rsid w:val="00335858"/>
    <w:rsid w:val="00336BDA"/>
    <w:rsid w:val="00341557"/>
    <w:rsid w:val="00342BD7"/>
    <w:rsid w:val="00346DB5"/>
    <w:rsid w:val="003477B1"/>
    <w:rsid w:val="00357380"/>
    <w:rsid w:val="003602D9"/>
    <w:rsid w:val="003604CE"/>
    <w:rsid w:val="00363A83"/>
    <w:rsid w:val="00365447"/>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429B"/>
    <w:rsid w:val="003B64BB"/>
    <w:rsid w:val="003B7B8E"/>
    <w:rsid w:val="003B7FE5"/>
    <w:rsid w:val="003C11C8"/>
    <w:rsid w:val="003C2702"/>
    <w:rsid w:val="003C7806"/>
    <w:rsid w:val="003D109F"/>
    <w:rsid w:val="003D15CA"/>
    <w:rsid w:val="003D2478"/>
    <w:rsid w:val="003D3C45"/>
    <w:rsid w:val="003D5B1F"/>
    <w:rsid w:val="003D62A0"/>
    <w:rsid w:val="003D786B"/>
    <w:rsid w:val="003E15FA"/>
    <w:rsid w:val="003E55E4"/>
    <w:rsid w:val="003E74E3"/>
    <w:rsid w:val="003E7CEC"/>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72B"/>
    <w:rsid w:val="00421105"/>
    <w:rsid w:val="00422AA4"/>
    <w:rsid w:val="004242F4"/>
    <w:rsid w:val="00425E47"/>
    <w:rsid w:val="00427248"/>
    <w:rsid w:val="00427565"/>
    <w:rsid w:val="004350DA"/>
    <w:rsid w:val="00437447"/>
    <w:rsid w:val="00441A92"/>
    <w:rsid w:val="004431DC"/>
    <w:rsid w:val="00444F56"/>
    <w:rsid w:val="00446488"/>
    <w:rsid w:val="004517AA"/>
    <w:rsid w:val="00452CAC"/>
    <w:rsid w:val="00457565"/>
    <w:rsid w:val="00457B71"/>
    <w:rsid w:val="00460AA7"/>
    <w:rsid w:val="00465919"/>
    <w:rsid w:val="004669E2"/>
    <w:rsid w:val="00470C31"/>
    <w:rsid w:val="00471DE0"/>
    <w:rsid w:val="004734D0"/>
    <w:rsid w:val="0047556B"/>
    <w:rsid w:val="00477768"/>
    <w:rsid w:val="00492BC5"/>
    <w:rsid w:val="004964F1"/>
    <w:rsid w:val="004A16BC"/>
    <w:rsid w:val="004A1BFE"/>
    <w:rsid w:val="004A2B94"/>
    <w:rsid w:val="004B5E25"/>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469"/>
    <w:rsid w:val="00546970"/>
    <w:rsid w:val="00554E19"/>
    <w:rsid w:val="0056121F"/>
    <w:rsid w:val="00564E3C"/>
    <w:rsid w:val="00572505"/>
    <w:rsid w:val="00582809"/>
    <w:rsid w:val="0058798C"/>
    <w:rsid w:val="005900FA"/>
    <w:rsid w:val="005935A4"/>
    <w:rsid w:val="005948C2"/>
    <w:rsid w:val="00595DCA"/>
    <w:rsid w:val="0059779B"/>
    <w:rsid w:val="005A197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96F"/>
    <w:rsid w:val="00701C85"/>
    <w:rsid w:val="0070346E"/>
    <w:rsid w:val="00704EDB"/>
    <w:rsid w:val="00706101"/>
    <w:rsid w:val="00707072"/>
    <w:rsid w:val="00707D61"/>
    <w:rsid w:val="00712287"/>
    <w:rsid w:val="00712772"/>
    <w:rsid w:val="007148D3"/>
    <w:rsid w:val="00715B9A"/>
    <w:rsid w:val="00723B7D"/>
    <w:rsid w:val="007257D0"/>
    <w:rsid w:val="00726EA6"/>
    <w:rsid w:val="00727208"/>
    <w:rsid w:val="00727680"/>
    <w:rsid w:val="007348B1"/>
    <w:rsid w:val="007362A6"/>
    <w:rsid w:val="00736D7D"/>
    <w:rsid w:val="00740E58"/>
    <w:rsid w:val="00742F7E"/>
    <w:rsid w:val="007445A0"/>
    <w:rsid w:val="0074524B"/>
    <w:rsid w:val="00747D8B"/>
    <w:rsid w:val="00751228"/>
    <w:rsid w:val="007571E1"/>
    <w:rsid w:val="007604B2"/>
    <w:rsid w:val="00764055"/>
    <w:rsid w:val="00765281"/>
    <w:rsid w:val="00766BAD"/>
    <w:rsid w:val="007729A2"/>
    <w:rsid w:val="007755F2"/>
    <w:rsid w:val="00776971"/>
    <w:rsid w:val="00780A80"/>
    <w:rsid w:val="0078177E"/>
    <w:rsid w:val="0078304C"/>
    <w:rsid w:val="00783673"/>
    <w:rsid w:val="00783DCC"/>
    <w:rsid w:val="00785490"/>
    <w:rsid w:val="00787630"/>
    <w:rsid w:val="007925EA"/>
    <w:rsid w:val="00793CD8"/>
    <w:rsid w:val="00795C92"/>
    <w:rsid w:val="00796231"/>
    <w:rsid w:val="007A1CB3"/>
    <w:rsid w:val="007A2015"/>
    <w:rsid w:val="007A306F"/>
    <w:rsid w:val="007A43A6"/>
    <w:rsid w:val="007A576F"/>
    <w:rsid w:val="007A58A6"/>
    <w:rsid w:val="007A6349"/>
    <w:rsid w:val="007B142E"/>
    <w:rsid w:val="007B3D2D"/>
    <w:rsid w:val="007B50AE"/>
    <w:rsid w:val="007B51DF"/>
    <w:rsid w:val="007C05DD"/>
    <w:rsid w:val="007C3D18"/>
    <w:rsid w:val="007C5EC9"/>
    <w:rsid w:val="007C60BF"/>
    <w:rsid w:val="007C6A07"/>
    <w:rsid w:val="007C75A1"/>
    <w:rsid w:val="007C77A5"/>
    <w:rsid w:val="007D04E5"/>
    <w:rsid w:val="007D5901"/>
    <w:rsid w:val="007D7526"/>
    <w:rsid w:val="007E4610"/>
    <w:rsid w:val="007E4715"/>
    <w:rsid w:val="007E505B"/>
    <w:rsid w:val="007E7091"/>
    <w:rsid w:val="007F2276"/>
    <w:rsid w:val="007F312E"/>
    <w:rsid w:val="007F5CA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87E"/>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75B"/>
    <w:rsid w:val="008C2017"/>
    <w:rsid w:val="008C4958"/>
    <w:rsid w:val="008C4BAA"/>
    <w:rsid w:val="008C6AE8"/>
    <w:rsid w:val="008C7573"/>
    <w:rsid w:val="008D00A5"/>
    <w:rsid w:val="008D34F1"/>
    <w:rsid w:val="008D39D8"/>
    <w:rsid w:val="008D6D1A"/>
    <w:rsid w:val="008E065E"/>
    <w:rsid w:val="008E0927"/>
    <w:rsid w:val="008E1494"/>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762"/>
    <w:rsid w:val="0095681E"/>
    <w:rsid w:val="009572D4"/>
    <w:rsid w:val="00961921"/>
    <w:rsid w:val="0096430A"/>
    <w:rsid w:val="0096554B"/>
    <w:rsid w:val="0096584A"/>
    <w:rsid w:val="00971F08"/>
    <w:rsid w:val="0097603D"/>
    <w:rsid w:val="00976949"/>
    <w:rsid w:val="00980477"/>
    <w:rsid w:val="00985253"/>
    <w:rsid w:val="009853B3"/>
    <w:rsid w:val="00987313"/>
    <w:rsid w:val="0098796D"/>
    <w:rsid w:val="00990630"/>
    <w:rsid w:val="0099065E"/>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CA1"/>
    <w:rsid w:val="00A3448A"/>
    <w:rsid w:val="00A36297"/>
    <w:rsid w:val="00A41E2B"/>
    <w:rsid w:val="00A45A78"/>
    <w:rsid w:val="00A45B74"/>
    <w:rsid w:val="00A52BC8"/>
    <w:rsid w:val="00A52E1D"/>
    <w:rsid w:val="00A61499"/>
    <w:rsid w:val="00A62A77"/>
    <w:rsid w:val="00A63483"/>
    <w:rsid w:val="00A63C0C"/>
    <w:rsid w:val="00A657D7"/>
    <w:rsid w:val="00A660AC"/>
    <w:rsid w:val="00A67E6C"/>
    <w:rsid w:val="00A71B99"/>
    <w:rsid w:val="00A739D0"/>
    <w:rsid w:val="00A761D4"/>
    <w:rsid w:val="00A77EC4"/>
    <w:rsid w:val="00A92879"/>
    <w:rsid w:val="00A9442A"/>
    <w:rsid w:val="00AA016F"/>
    <w:rsid w:val="00AA1ED6"/>
    <w:rsid w:val="00AA51D6"/>
    <w:rsid w:val="00AA5890"/>
    <w:rsid w:val="00AB030D"/>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11F"/>
    <w:rsid w:val="00B45A52"/>
    <w:rsid w:val="00B46175"/>
    <w:rsid w:val="00B548B7"/>
    <w:rsid w:val="00B664C7"/>
    <w:rsid w:val="00B72440"/>
    <w:rsid w:val="00B739F6"/>
    <w:rsid w:val="00B81A6C"/>
    <w:rsid w:val="00B84480"/>
    <w:rsid w:val="00B85DE5"/>
    <w:rsid w:val="00B90F73"/>
    <w:rsid w:val="00B93B59"/>
    <w:rsid w:val="00B9406A"/>
    <w:rsid w:val="00BA2280"/>
    <w:rsid w:val="00BA2A08"/>
    <w:rsid w:val="00BA56D2"/>
    <w:rsid w:val="00BA6DF0"/>
    <w:rsid w:val="00BA718A"/>
    <w:rsid w:val="00BA76E0"/>
    <w:rsid w:val="00BB2A25"/>
    <w:rsid w:val="00BB51E9"/>
    <w:rsid w:val="00BB70C4"/>
    <w:rsid w:val="00BC0FDC"/>
    <w:rsid w:val="00BC3053"/>
    <w:rsid w:val="00BC4D2E"/>
    <w:rsid w:val="00BD48AC"/>
    <w:rsid w:val="00BD5F1A"/>
    <w:rsid w:val="00BE08D4"/>
    <w:rsid w:val="00BE1234"/>
    <w:rsid w:val="00BE2FA6"/>
    <w:rsid w:val="00BE333F"/>
    <w:rsid w:val="00BE5D90"/>
    <w:rsid w:val="00BE7406"/>
    <w:rsid w:val="00BE7603"/>
    <w:rsid w:val="00BF3279"/>
    <w:rsid w:val="00BF74C7"/>
    <w:rsid w:val="00C015F1"/>
    <w:rsid w:val="00C01F33"/>
    <w:rsid w:val="00C02541"/>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C00"/>
    <w:rsid w:val="00CE0424"/>
    <w:rsid w:val="00CE0CF1"/>
    <w:rsid w:val="00CE7561"/>
    <w:rsid w:val="00CF1354"/>
    <w:rsid w:val="00CF37E8"/>
    <w:rsid w:val="00CF3B1F"/>
    <w:rsid w:val="00CF3BF6"/>
    <w:rsid w:val="00CF625B"/>
    <w:rsid w:val="00CF687E"/>
    <w:rsid w:val="00D0349B"/>
    <w:rsid w:val="00D04498"/>
    <w:rsid w:val="00D10249"/>
    <w:rsid w:val="00D115C3"/>
    <w:rsid w:val="00D11897"/>
    <w:rsid w:val="00D13135"/>
    <w:rsid w:val="00D13E4E"/>
    <w:rsid w:val="00D239A7"/>
    <w:rsid w:val="00D23F47"/>
    <w:rsid w:val="00D36E71"/>
    <w:rsid w:val="00D37D87"/>
    <w:rsid w:val="00D40B33"/>
    <w:rsid w:val="00D4318F"/>
    <w:rsid w:val="00D438BF"/>
    <w:rsid w:val="00D440F8"/>
    <w:rsid w:val="00D4646D"/>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2C38"/>
    <w:rsid w:val="00D94645"/>
    <w:rsid w:val="00DA1287"/>
    <w:rsid w:val="00DA305E"/>
    <w:rsid w:val="00DA5417"/>
    <w:rsid w:val="00DA56E8"/>
    <w:rsid w:val="00DB0A9F"/>
    <w:rsid w:val="00DB377D"/>
    <w:rsid w:val="00DC2D36"/>
    <w:rsid w:val="00DC47BB"/>
    <w:rsid w:val="00DC53EF"/>
    <w:rsid w:val="00DE5608"/>
    <w:rsid w:val="00DE58D0"/>
    <w:rsid w:val="00DE654F"/>
    <w:rsid w:val="00DF0B6E"/>
    <w:rsid w:val="00DF15E0"/>
    <w:rsid w:val="00DF378D"/>
    <w:rsid w:val="00DF37A0"/>
    <w:rsid w:val="00E110E7"/>
    <w:rsid w:val="00E11B20"/>
    <w:rsid w:val="00E1314D"/>
    <w:rsid w:val="00E17CC5"/>
    <w:rsid w:val="00E17FA2"/>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9DF"/>
    <w:rsid w:val="00EA7A41"/>
    <w:rsid w:val="00EB077B"/>
    <w:rsid w:val="00EB4EA2"/>
    <w:rsid w:val="00EC24D5"/>
    <w:rsid w:val="00EC27C6"/>
    <w:rsid w:val="00EC4207"/>
    <w:rsid w:val="00EC5653"/>
    <w:rsid w:val="00EC71CE"/>
    <w:rsid w:val="00ED1006"/>
    <w:rsid w:val="00EE01F9"/>
    <w:rsid w:val="00EF18FE"/>
    <w:rsid w:val="00EF5787"/>
    <w:rsid w:val="00EF60D0"/>
    <w:rsid w:val="00F0528D"/>
    <w:rsid w:val="00F06C67"/>
    <w:rsid w:val="00F06DFD"/>
    <w:rsid w:val="00F071D1"/>
    <w:rsid w:val="00F07533"/>
    <w:rsid w:val="00F0761B"/>
    <w:rsid w:val="00F10629"/>
    <w:rsid w:val="00F15FA5"/>
    <w:rsid w:val="00F209B7"/>
    <w:rsid w:val="00F2376F"/>
    <w:rsid w:val="00F243D8"/>
    <w:rsid w:val="00F30828"/>
    <w:rsid w:val="00F313D6"/>
    <w:rsid w:val="00F3320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47C"/>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29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Doc-title">
    <w:name w:val="Doc-title"/>
    <w:basedOn w:val="Normal"/>
    <w:next w:val="Doc-text2"/>
    <w:link w:val="Doc-titleChar"/>
    <w:qFormat/>
    <w:rsid w:val="00783DCC"/>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783DCC"/>
    <w:rPr>
      <w:rFonts w:ascii="Arial" w:eastAsia="MS Mincho" w:hAnsi="Arial"/>
      <w:noProof/>
      <w:szCs w:val="24"/>
    </w:rPr>
  </w:style>
  <w:style w:type="paragraph" w:customStyle="1" w:styleId="Comments">
    <w:name w:val="Comments"/>
    <w:basedOn w:val="Normal"/>
    <w:link w:val="CommentsChar"/>
    <w:qFormat/>
    <w:rsid w:val="00783DCC"/>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783DCC"/>
    <w:rPr>
      <w:rFonts w:ascii="Arial" w:eastAsia="MS Mincho" w:hAnsi="Arial"/>
      <w:i/>
      <w:noProof/>
      <w:sz w:val="18"/>
      <w:szCs w:val="24"/>
    </w:rPr>
  </w:style>
  <w:style w:type="paragraph" w:customStyle="1" w:styleId="Agreement">
    <w:name w:val="Agreement"/>
    <w:basedOn w:val="Normal"/>
    <w:next w:val="Doc-text2"/>
    <w:qFormat/>
    <w:rsid w:val="00783DCC"/>
    <w:pPr>
      <w:numPr>
        <w:numId w:val="23"/>
      </w:numPr>
      <w:overflowPunct/>
      <w:autoSpaceDE/>
      <w:autoSpaceDN/>
      <w:adjustRightInd/>
      <w:spacing w:before="60" w:after="0"/>
      <w:textAlignment w:val="auto"/>
    </w:pPr>
    <w:rPr>
      <w:rFonts w:eastAsia="MS Mincho"/>
      <w:b/>
      <w:szCs w:val="24"/>
      <w:lang w:eastAsia="en-GB"/>
    </w:rPr>
  </w:style>
  <w:style w:type="paragraph" w:styleId="Revision">
    <w:name w:val="Revision"/>
    <w:hidden/>
    <w:uiPriority w:val="99"/>
    <w:semiHidden/>
    <w:rsid w:val="00723B7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0C75665A-8D3B-4EDF-92FC-AC5B4208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103</TotalTime>
  <Pages>3</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RAN2#126</cp:lastModifiedBy>
  <cp:revision>99</cp:revision>
  <cp:lastPrinted>2008-01-31T07:09:00Z</cp:lastPrinted>
  <dcterms:created xsi:type="dcterms:W3CDTF">2023-08-31T07:30:00Z</dcterms:created>
  <dcterms:modified xsi:type="dcterms:W3CDTF">2024-05-09T09:03:00Z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